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205</w:t>
      </w:r>
    </w:p>
    <w:p>
      <w:r>
        <w:t>Bundesgericht (BGE), 1971-09-24, FR</w:t>
      </w:r>
    </w:p>
    <w:p>
      <w:r>
        <w:rPr>
          <w:b/>
        </w:rPr>
        <w:t xml:space="preserve">Quelle: </w:t>
      </w:r>
      <w:r>
        <w:t>https://mcp.opencaselaw.ch/entscheid/bge_97 IV 205</w:t>
      </w:r>
    </w:p>
    <w:p>
      <w:r>
        <w:t>FR: ATF 97 IV 205</w:t>
      </w:r>
    </w:p>
    <w:p>
      <w:r>
        <w:t>IT: DTF 97 IV 205</w:t>
      </w:r>
    </w:p>
    <w:p>
      <w:pPr>
        <w:pStyle w:val="Heading2"/>
      </w:pPr>
      <w:r>
        <w:t>Regeste</w:t>
      </w:r>
    </w:p>
    <w:p>
      <w:r>
        <w:t>Regeste Ausländischer Führerausweis. Art. 4 des BRB vom 28. Januar 1966 über Motorfahrzeuge und Motorfahrzeugführer aus dem Ausland. Anforderungen an die Form der Verfügung, mit der die Verwaltung die Gültigkeit eines ausländischen Führerausweises in der Schweiz nicht oder nicht mehr anerkennt. Anwendung des schweizerischen Rechts: Art. 3 und 7 Abs. 1 StGB. Fälschung von Ausweisen: Art. 252 StGB und 97 Abs. 4 SVG. Auf die im Ausland begangenen schlichten Tätigkeits- bzw. Unterlassungsdelikte ist das schweizerische Recht anwendbar, wenn sie in der Schweiz einen Erfolg bewirkt haben; die Anwendung schweizerischen Rechts ist indessen ausgeschlossen, wenn das schlichte Tätigkeits- bzw. Unterlassungsdelikt ein abstraktes Gefährdungsdelikt ist, z.B. die Fälschung von Ausweisen.</w:t>
      </w:r>
    </w:p>
    <w:p>
      <w:pPr>
        <w:pStyle w:val="Heading2"/>
      </w:pPr>
      <w:r>
        <w:t>Erwägungen</w:t>
      </w:r>
    </w:p>
    <w:p>
      <w:r>
        <w:rPr>
          <w:b/>
        </w:rPr>
        <w:t>E. 1</w:t>
      </w:r>
    </w:p>
    <w:p>
      <w:r>
        <w:t>De l'avis du recourant, les faits constatés par l'autorité cantonale ne permettent pas de juger si la pièce falsifiée par lui et présentée ensuite au Service vaudois des automobiles constituait un certificat. Le juge du fait a seulement constaté que le Service vaudois des automobiles avait inscrit sur le permis de conduire espagnol du recourant les mots "Permis non valable en Suisse". Selon l'art. 4 de l'ACF du 28 janvier 1966 concernant les véhicules à moteur et les conducteurs en provenance de l'étranger (texte en vigueur au moment où Garcia a commis les actes retenus contre lui), la Suisse, sous réserve de certaines exceptions, délivre un permis de conduire suisse, sans faire passer d'examen, au titulaire d'un permis de conduire étranger qui n'est plus admis à utiliser ce permis en Suisse. Selon les principes généraux du droit administratif, lorsque la validité d'un permis étranger n'est pas ou n'est plus reconnue en Suisse (art. 2 al. 2 ACF du 10 mai 1957 concernant la circulation automobile internationale), il suffit à l'autorité suisse d'y porter l'inscription "non valable en Suisse", pourvu qu'elle ait par ailleurs valablement notifié au titulaire la décision exclusive d'un droit, dont il a fait l'objet (cf. art. 23 al. 1 LCR; s'agissant de l'exclusion du droit d'utiliser un permis international, v. Convention internationale du 24 avril 1926, art. 7 al. 5 et annexe E, p. 4 BGE 97 IV 205 S. 208 du spécimen). Cette notification peut avoir lieu par un écrit distinct de la simple inscription sur le permis de conduire (circulaire de la Division de la police du Département fédéral de justice et police du 8 avril 1964). Lorsqu'une telle notification n'a pas lieu, il faut au moins que l'inscription portée sur le permis mentionne l'autorité qui a pris la décision et en porte la signature, qui peut être un fac-similé. L'inobservation de cette règle entraîne la nullité de l'acte administratif (GIACOMETTI, Allgemeine Lehren des rechtsstaatlichen Verwaltungsrechts, p. 386 et n. 46; IMBODEN, Schweizerische Verwaltungsrechtsprechung, 3e éd., t. II, nos 615 III d et 626 III; GRISEL, Droit administratif suisse, p. 205). Le recourant allègue en vain qu'en cas de notification écrite distincte, la simple mention sur le permis "non valable en Suisse" devrait avoir, elle aussi, le caractère d'un certificat valable. Il suffit que le permis lui-même en soit un - ce qui est manifeste en l'espèce. Dans ce cas, la suppression de la mention constitue une falsification du permis et tombe sous le coup de l'art. 255 CP. L'arrêt attaqué ne contient aucune constatation sur la forme observée par l'autorité vaudoise pour communiquer sa décision. La Cour de cassation pénale ne saurait combler cette lacune. Il faut donc renvoyer la cause à l'autorité cantonale, qui complétera ses constatations de fait. Si elle arrive à la conclusion que la décision du Service des automobiles du canton de Vaud était nulle, elle ne pourra prononcer aucune condamnation du chef de faux dans les certificats et de délit manqué d'obtention frauduleuse d'un permis.</w:t>
      </w:r>
    </w:p>
    <w:p>
      <w:r>
        <w:rPr>
          <w:b/>
        </w:rPr>
        <w:t>E. 2</w:t>
      </w:r>
    </w:p>
    <w:p>
      <w:r>
        <w:t>Supposé que la pièce falsifiée par Garcia eût constitué un certificat valable et que l'application de l'art. 252 CP entrât en ligne de compte vu les règles sur le concours d'infractions, l'autorité cantonale aurait dû considérer que l'auteur avait agi, non en Suisse, mais en Espagne et, partant, examiner d'office si le droit suisse était applicable à la falsification. Car, selon son art. 3, le Code pénal suisse s'applique à quiconque aura commis un crime ou un délit en Suisse, le lieu de commission étant aussi bien celui où l'auteur a agi que celui où le résultat s'est produit (art. 7 al. 1 CP). Le faux dans les certificats est un délit formel, c'est-à-dire un comportement que la loi réprime comme tel sans prendre en considération le résultat. Le Tribunal fédéral a cependant jugé BGE 97 IV 205 S. 209 que ces délits avaient effectivement un résultat, même si la loi l'ignorait, et qu'ils tombaient sous le coup de la loi suisse lorsque ce résultat s'était produit en Suisse. Il a maintenu cette jurisprudence, nonobstant les critiques qu'elle avait soulevées (RO 87 IV 153; 91 IV 232 ). En effet, a-t-il dit, le résultat consiste dans le dommage à cause duquel le législateur a rendu l'acte punissable. Ce dommage existe aussi bien dans les délits formels que dans les délits matériels, même si la loi n'en fait pas état. La cour de céans n'entend pas modifier, aujourd'hui, le principe de cette jurisprudence. Le faux dans les certificats, dont il s'agit en l'espèce, rentre dans la catégorie, à la fois des délits formels et des délits de mise en danger. On distingue, en doctrine, entre la mise en danger concrète et la mise en danger abstraite. La première existe seulement lorsque l'acte rend la lésion non seulement possible du point de vue objectif, mais encore vraisemblable dans le cours ordinaire des choses (RO 71 IV 100; 72 IV 27 ; 73 IV 101 ; 80 IV 182 ; 83 IV 30 ; 85 IV 130 ; 91 IV 194 ). La seconde, en revanche, suppose seulement que le législateur tient l'acte lui-même pour dangereux et le punit comme tel sans exiger que le danger se soit effectivement manifesté; il suffit alors que l'acte soit propre à entraîner le dommage que le danger fait craindre, qu'il s'agisse par exemple d'un acte par lequel on obtient, au registre du commerce, une inscription propre à induire en erreur (art. 1er de la loi fédérale du 6 octobre 1923 statuant des dispositions pénales en matière de registre du commerce et de raisons de commerce). On voit que, dans la mise en danger abstraite, l'acte reste en principe punissable alors même qu'il serait demeuré sans aucun résultat, c'est-à-dire qu'il n'aurait suscité aucun danger effectif. Le résultat est donc non seulement beaucoup moins caractérisé que dans la mise en danger concrète, mais encore il peut faire totalement défaut. De ce point de vue, on ne saurait assimiler les deux catégories de mise en danger. Si, comme le Tribunal fédéral l'a admis précédemment, la mise en danger concrète peut avoir produit un résultat en Suisse et, partant, justifier l'application du Code pénal suisse, il n'en va pas de même de la mise en danger abstraite, où le juge n'a jamais à rechercher si le danger a effectivement existé, comme il doit le faire dans l'autre cas. Il s'ensuit que, dans les délits formels qui sont en même BGE 97 IV 205 S. 210 temps des délits de mise en danger abstraite, on ne pourra prendre en considération, pour appliquer les art. 3 et 7 CP, que le lieu où l'auteur a agi. C'est là une précision apportée à la jurisprudence rappelée plus haut. Le faux dans les certificats (art. 252 CP) est punissable en raison du danger que l'acte fait courir à la foi publique attachée à certains documents, danger que caractérise suffisamment le dessein de l'auteur ("améliorer sa situation ou celle d'autrui"). Il s'agit d'une mise en danger abstraite, c'est-à-dire d'un acte réputé dangereux et, partant, punissable en raison de sa nature même et du dessein de l'auteur. Dès lors, le juge qui recherche si l'art. 252 CP est applicable de par les art. 3 et 7 CP ne saurait examiner si le faux a effectivement, par une mise en danger, sorti ses effets en Suisse; il ne le peut pas plus que s'il avait à appliquer cette disposition. Seul compte l'acte commis par l'auteur et, cet acte ayant été accompli à l'étranger, échappe à l'application du droit suisse. L'autorité cantonale devra donc libérer Garcia du chef de faux dans les certificats.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